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48"/>
          <w:szCs w:val="48"/>
        </w:rPr>
      </w:pPr>
      <w:r>
        <w:rPr>
          <w:rFonts w:hint="default" w:ascii="Times New Roman" w:hAnsi="Times New Roman" w:eastAsia="黑体" w:cs="Times New Roman"/>
          <w:kern w:val="0"/>
          <w:sz w:val="48"/>
          <w:szCs w:val="4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kern w:val="0"/>
          <w:sz w:val="48"/>
          <w:szCs w:val="48"/>
        </w:rPr>
        <w:t>日程安排</w:t>
      </w:r>
    </w:p>
    <w:tbl>
      <w:tblPr>
        <w:tblStyle w:val="3"/>
        <w:tblW w:w="11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560"/>
        <w:gridCol w:w="9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时      间</w:t>
            </w:r>
          </w:p>
        </w:tc>
        <w:tc>
          <w:tcPr>
            <w:tcW w:w="91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会   议   议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：《国家自然科学基金申请体会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》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提纲：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1.国家自然科学基金申请规则和内容的最近调整；2国家自然科学基金的分类和特色；3国家自然科学基金申请书的总体布局、总体思路、研究内容和提纲的确定；4国家自然科学基金申请书的编写要点和各栏目的编写要点；5面上基金、人才基金的特点及其评审要点和要求；6国家自科学基金编写的一些注意点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朱永法,清华大学化学系教授、博导，国家电子能谱中心常务副主任。分别从南京大学、北京大学和清华大学获得学士、硕士和博士学位以及在日本爱媛大学从事博士后研究工作。1988.7月到现在，一直在清华大学化学系工作，从事能源光催化、环境光催化及光催化健康的研究。承担了国家973项目、863项目、国家自然科学基金重点、国家自然科学基金仪器专项，国际重点合作项目和面上项目等基础研究课题，同时，还承担了企业的有关吸附净化材料、光催化材料及其在空气和水环境净化方面的应用课题。获得教育部跨世纪优秀人才及国家自然科学基金委杰青年基金资助。获得国家自然科学奖二等奖1项, 教育部自然科学奖一等奖2项、二等奖1项，教育部科技进步奖二等奖和三等奖各1次。发表SCI论文461篇，高被引论文41篇；论文总引40000余次，H因子为114。2014-至今Elsevier高被引学者（化学），2018-至今科睿唯安“全球高被引科学家”（化学）， 2021年度全球顶尖前10万科学家排名第851位。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《国家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自然科学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基金项目申请与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申报书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撰写》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拟）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  <w:t>刘斌，南京大学电子学院教授、副院长，教育部长江学者特聘教授，国家优青，长期从事宽禁带半导体氮化镓半导体材料与器件、新型半导体显示技术研究，担任我国第三代半导体联盟、光电子行业协会等Micro-LED显示器件专委会委员，国内大型半导体显示企业技术顾问等，曾在英国谢菲尔德大学III-V族半导体国家实验室做博士后研究，在中国香港中文大学、美国耶鲁大学、瑞典皇家工学院访问研究；主持/完成国家重点研发计划项目，国家自然科学基金优青、面上项目，江苏省科技成果转化项目等20余项，发表SCI论文200余篇，授权中国、美国发明专利60余项，获教育部自然科学一等奖和技术发明一等奖，中国产学研合作创新成果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待定）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龚启勇，四川大学华西厦门医院放射科主任医师，北京协和医学院博士生导师。功能与分子影像四川省重点实验室主任、长江学者特聘教授、国家重点研发计划项目负责人；美国精神病学杂志Am J Psychiatry副主编。长期从事临床放射学医教研，在脑与精神心理疾病放射影像领域做了系统创新工作，获国家自然科学奖二等奖和4项省部级科技奖一等奖（含中华医学科技一等奖）；并获吴阶平医药创新奖、全国创新争先奖。以通讯发表SCI论文逾百篇（含中国百篇最具影响国际学术论文），是Clarivate“全球高被引科学家”和Elsevier “中国高被引学者”。受邀领衔主编出版北美放射医师《精神影像学》医学继教培训教材（计CME学分）。开创了学科新领域，为推动我国精神影像学跻身国际一流做了重要贡献。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《国家自然科学基金项目流程解析》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提纲：1. 青年科研人员怎么科研选题；2. 青年科研人员基金申报；3. 学术发展与产学研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金贤敏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，上海交通大学教授，长江学者，集成量子信息技术研究中心（IQIT）主任，无锡光子芯片研究院（CHIPX）院长，图灵量子创始人兼CEO。发表论文80余篇，包括18篇《自然》和《科学》及子刊，20篇PRL，6篇Optica等，获授权国家发明专利15项。担任Chip (Elsevier)创刊执行主编，Photonics Research (OSA)副主编，Advanced Intelligent Systems (WILEY)国际编委、量子计算国际标准化工作组专家、牛津剑桥校友会四季论坛理事。获全国百篇优秀博士论文奖、玛丽居里学者、牛津大学沃弗森学院学者、国家青年千人计划、上海千人计划、上海青年科技英才奖、上海市创新创业50人、九三学社中央先进个人表彰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国家自然科学基金项目申请书写作要点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》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王先甲，武汉大学经济与管理学院教授，管理科学与工程学科和系统工程学科学术带头人。1995年晋升为教授，1997年被评为博士生导师，2003年被评为武汉大学珞珈特聘教授 （首批），2007年评为武汉大学二级教授(首批)，2013年被为武汉大学珞珈杰出学者（首批），2021年聘为武汉大学人文社科研究院驻院研究员。任（曾）中国系统工程学会副理事长兼学术委员会主任，中国管理科学与工程学会常务理事，中国系统工程学会水利专业委员会副理事长，国家科技部可持续发展专家委员会专家，湖北省青年工作者协会会长和名誉会长，湖北省系统工程学会副理事长，《系统工程理论与实践》副主编、顾问，《Acta Mathematica Scientia》(SCI-2区期刊)常务编委，其它多个期刊编委。主持国家社科基金重大项目1项、国家自然科学基金项目8项（重点项目2项，1项已结题，评审为优秀），国际合作项目3项，其它国家、省部级、企业委托项目30余项。获国家教委科技进步二等奖等省部级奖励10余项。共发表论文625篇（2006年以来被SSCI和SCI收录118篇次；1994年以来被EI收录218篇；FMS-T1论文67篇），出版著作3部。获国务院政府特殊津贴、湖北省有突出贡献中青年专家、湖北省科技精英、英国皇家学会王宽诚奖学金等荣誉。　</w:t>
            </w:r>
          </w:p>
        </w:tc>
      </w:tr>
    </w:tbl>
    <w:tbl>
      <w:tblPr>
        <w:tblStyle w:val="4"/>
        <w:tblpPr w:leftFromText="180" w:rightFromText="180" w:vertAnchor="text" w:tblpX="10214" w:tblpY="-4685"/>
        <w:tblOverlap w:val="never"/>
        <w:tblW w:w="4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5" w:type="dxa"/>
          <w:trHeight w:val="30" w:hRule="atLeast"/>
        </w:trPr>
        <w:tc>
          <w:tcPr>
            <w:tcW w:w="225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3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 w:val="24"/>
                <w:vertAlign w:val="baseline"/>
              </w:rPr>
            </w:pPr>
          </w:p>
        </w:tc>
      </w:tr>
    </w:tbl>
    <w:p>
      <w:pPr>
        <w:spacing w:before="50"/>
        <w:ind w:right="0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27B85D82"/>
    <w:rsid w:val="08AF3C2C"/>
    <w:rsid w:val="27B85D82"/>
    <w:rsid w:val="28D63700"/>
    <w:rsid w:val="4C8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2022-09-20T04:01:00Z</dcterms:created>
  <dc:creator>V</dc:creator>
  <cp:lastModifiedBy>yoyo</cp:lastModifiedBy>
  <dcterms:modified xsi:type="dcterms:W3CDTF">2022-10-31T03:08:36Z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E96D7FB416674095843277D252CA53A0</vt:lpwstr>
  </property>
</Properties>
</file>