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eastAsia="黑体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日程安排（拟定）</w:t>
      </w:r>
    </w:p>
    <w:tbl>
      <w:tblPr>
        <w:tblStyle w:val="3"/>
        <w:tblW w:w="11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47"/>
        <w:gridCol w:w="1863"/>
        <w:gridCol w:w="3606"/>
        <w:gridCol w:w="623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37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 间</w:t>
            </w:r>
          </w:p>
        </w:tc>
        <w:tc>
          <w:tcPr>
            <w:tcW w:w="42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主要内容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主讲嘉宾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3月24日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9:00-20: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00</w:t>
            </w:r>
          </w:p>
        </w:tc>
        <w:tc>
          <w:tcPr>
            <w:tcW w:w="7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签到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领取资料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3月25日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8:55-9:00</w:t>
            </w:r>
          </w:p>
        </w:tc>
        <w:tc>
          <w:tcPr>
            <w:tcW w:w="7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开班仪式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-11:50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以国家重大活动为载体提升思政课实效的理论与实践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》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邓喆 副教授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清华大学马克思主义学院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党委副书记、副教授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00-13:00</w:t>
            </w:r>
          </w:p>
        </w:tc>
        <w:tc>
          <w:tcPr>
            <w:tcW w:w="7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午  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lang w:val="en-US" w:eastAsia="zh-CN"/>
              </w:rPr>
              <w:t>4:00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-17:00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高校思政课教师教学科研相互促进的若干思考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》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冯兵 教授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四川大学马克思主义学院教授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博士生导师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3月26日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:00-11:50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《高校课程思政元素的深入挖掘和有机融入》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杨增岽 教授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北京师范大学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马克思主义学院副院长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00-13:00</w:t>
            </w:r>
          </w:p>
        </w:tc>
        <w:tc>
          <w:tcPr>
            <w:tcW w:w="7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午  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4:00-17:00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《如何以“课堂实践教学”为抓手上好高校思政课》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石红梅 教授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厦门大学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马克思主义学院党委书记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3月27日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全天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:30-17:00</w:t>
            </w:r>
          </w:p>
        </w:tc>
        <w:tc>
          <w:tcPr>
            <w:tcW w:w="7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实践学习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早餐后，酒店大堂集合出发乘车车赴上杭古田镇（车程约2.5小时）抵达后参观【古田会议会址】。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古田会议是中国工农红军第四军在1929年12月28日至29日在福建省上杭县古田村召开的第九次党的代表大会，即红军第四军党的第九次代表大会，因会议在福建省上杭县古田村召开，史称“古田会议”。会议选举产生了新的中共红四军前敌委员会，毛泽东当选为书记。会议认真总结了南昌起义以来建军建党的经验，确立了人民军队建设的基本原则，核心内容党指挥枪，不是枪指挥党，重申了党对红军实行绝对领导，规定了红军的性质、宗旨和任务等事关党的事业兴衰成败的根本性。为纠正党内和军队中出现的极端民主化、非组织化等错误倾向，毛泽东同志首次提出“使党员的思想和党内的生活都政治化，科学化”的思想，为党的建设指明了正确方向。确立了党对军队的绝对领导，是我党我军建党建军史上的重要里程碑，为中国革命成功奠定了可靠的基础，被誉为中国红色“麦加”朝圣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3月28日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全天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:00-17:00</w:t>
            </w:r>
          </w:p>
        </w:tc>
        <w:tc>
          <w:tcPr>
            <w:tcW w:w="7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返 程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黑体" w:hAnsi="黑体" w:eastAsia="黑体" w:cs="黑体"/>
          <w:spacing w:val="-3"/>
          <w:sz w:val="32"/>
          <w:szCs w:val="32"/>
          <w:lang w:val="en-US"/>
        </w:rPr>
        <w:sectPr>
          <w:pgSz w:w="11906" w:h="16838"/>
          <w:pgMar w:top="1440" w:right="1825" w:bottom="1440" w:left="1843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RhOTg3ZDE1NmY3NGE1YzhhZDhhZmFmMGUxY2UifQ=="/>
  </w:docVars>
  <w:rsids>
    <w:rsidRoot w:val="00000000"/>
    <w:rsid w:val="6A4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2023-02-08T08:05:23Z</dcterms:created>
  <dc:creator>黄美凤</dc:creator>
  <cp:lastModifiedBy>HMF</cp:lastModifiedBy>
  <dcterms:modified xsi:type="dcterms:W3CDTF">2023-02-08T08:06:42Z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E425EC62E6ED4FD3B41D628CF691FD26</vt:lpwstr>
  </property>
</Properties>
</file>