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left"/>
        <w:textAlignment w:val="auto"/>
        <w:rPr>
          <w:rFonts w:hint="eastAsia" w:ascii="方正小标宋简体" w:hAnsi="方正小标宋简体" w:eastAsia="方正小标宋简体" w:cs="方正小标宋简体"/>
          <w:b/>
          <w:bCs/>
          <w:color w:val="000000"/>
          <w:sz w:val="36"/>
          <w:szCs w:val="36"/>
          <w:lang w:val="en-US" w:eastAsia="zh-CN"/>
        </w:rPr>
      </w:pPr>
      <w:r>
        <w:rPr>
          <w:rFonts w:hint="eastAsia" w:ascii="黑体" w:hAnsi="黑体" w:eastAsia="黑体" w:cs="黑体"/>
          <w:spacing w:val="-3"/>
          <w:sz w:val="32"/>
          <w:szCs w:val="32"/>
        </w:rPr>
        <w:t>附件</w:t>
      </w:r>
      <w:r>
        <w:rPr>
          <w:rFonts w:hint="eastAsia" w:ascii="黑体" w:hAnsi="黑体" w:eastAsia="黑体" w:cs="黑体"/>
          <w:spacing w:val="-3"/>
          <w:sz w:val="32"/>
          <w:szCs w:val="32"/>
          <w:lang w:val="en-US" w:eastAsia="zh-CN"/>
        </w:rPr>
        <w:t>2</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日程安排（拟定）</w:t>
      </w:r>
    </w:p>
    <w:tbl>
      <w:tblPr>
        <w:tblStyle w:val="4"/>
        <w:tblW w:w="11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
        <w:gridCol w:w="585"/>
        <w:gridCol w:w="1425"/>
        <w:gridCol w:w="5042"/>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2973" w:type="dxa"/>
            <w:gridSpan w:val="3"/>
            <w:tcBorders>
              <w:top w:val="single" w:color="000000" w:sz="8" w:space="0"/>
              <w:left w:val="single" w:color="000000" w:sz="8"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时 间</w:t>
            </w:r>
          </w:p>
        </w:tc>
        <w:tc>
          <w:tcPr>
            <w:tcW w:w="5042"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主要内容</w:t>
            </w:r>
          </w:p>
        </w:tc>
        <w:tc>
          <w:tcPr>
            <w:tcW w:w="2985" w:type="dxa"/>
            <w:tcBorders>
              <w:top w:val="single" w:color="000000" w:sz="8" w:space="0"/>
              <w:left w:val="single" w:color="000000" w:sz="4" w:space="0"/>
              <w:bottom w:val="single" w:color="000000" w:sz="4" w:space="0"/>
              <w:right w:val="single" w:color="000000" w:sz="4" w:space="0"/>
            </w:tcBorders>
            <w:shd w:val="clear" w:color="auto" w:fill="F2F2F2"/>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主讲嘉宾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963"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3月24</w:t>
            </w:r>
            <w:bookmarkStart w:id="0" w:name="_GoBack"/>
            <w:bookmarkEnd w:id="0"/>
            <w:r>
              <w:rPr>
                <w:rFonts w:hint="eastAsia" w:ascii="仿宋" w:hAnsi="仿宋" w:eastAsia="仿宋" w:cs="仿宋"/>
                <w:i w:val="0"/>
                <w:iCs w:val="0"/>
                <w:color w:val="000000"/>
                <w:kern w:val="0"/>
                <w:sz w:val="21"/>
                <w:szCs w:val="21"/>
                <w:u w:val="none"/>
                <w:lang w:val="en-US" w:eastAsia="zh-CN"/>
              </w:rPr>
              <w:t>日</w:t>
            </w:r>
          </w:p>
        </w:tc>
        <w:tc>
          <w:tcPr>
            <w:tcW w:w="2010"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9:00-20:</w:t>
            </w:r>
            <w:r>
              <w:rPr>
                <w:rStyle w:val="6"/>
                <w:rFonts w:hint="eastAsia" w:ascii="仿宋" w:hAnsi="仿宋" w:eastAsia="仿宋" w:cs="仿宋"/>
                <w:sz w:val="21"/>
                <w:szCs w:val="21"/>
                <w:lang w:val="en-US" w:eastAsia="zh-CN"/>
              </w:rPr>
              <w:t>00</w:t>
            </w:r>
          </w:p>
        </w:tc>
        <w:tc>
          <w:tcPr>
            <w:tcW w:w="80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签到，领取资料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963" w:type="dxa"/>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3月25日</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上午</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8:55-9:00</w:t>
            </w:r>
          </w:p>
        </w:tc>
        <w:tc>
          <w:tcPr>
            <w:tcW w:w="80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rPr>
              <w:t>开班仪式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963" w:type="dxa"/>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142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9:00</w:t>
            </w:r>
            <w:r>
              <w:rPr>
                <w:rStyle w:val="6"/>
                <w:rFonts w:hint="eastAsia" w:ascii="仿宋" w:hAnsi="仿宋" w:eastAsia="仿宋" w:cs="仿宋"/>
                <w:sz w:val="21"/>
                <w:szCs w:val="21"/>
                <w:lang w:val="en-US" w:eastAsia="zh-CN"/>
              </w:rPr>
              <w:t>-11:30</w:t>
            </w:r>
          </w:p>
        </w:tc>
        <w:tc>
          <w:tcPr>
            <w:tcW w:w="8027"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hint="default" w:ascii="仿宋" w:hAnsi="仿宋" w:eastAsia="仿宋" w:cs="仿宋"/>
                <w:b w:val="0"/>
                <w:bCs w:val="0"/>
                <w:i w:val="0"/>
                <w:iCs w:val="0"/>
                <w:color w:val="000000"/>
                <w:kern w:val="0"/>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报告主题：《面向终身学习能力构建的阅读推广》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963" w:type="dxa"/>
            <w:vMerge w:val="continue"/>
            <w:tcBorders>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pPr>
          </w:p>
        </w:tc>
        <w:tc>
          <w:tcPr>
            <w:tcW w:w="58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pPr>
          </w:p>
        </w:tc>
        <w:tc>
          <w:tcPr>
            <w:tcW w:w="142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pPr>
          </w:p>
        </w:tc>
        <w:tc>
          <w:tcPr>
            <w:tcW w:w="8027"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 xml:space="preserve">黄如花 </w:t>
            </w:r>
            <w:r>
              <w:rPr>
                <w:rFonts w:hint="eastAsia" w:ascii="仿宋" w:hAnsi="仿宋" w:eastAsia="仿宋" w:cs="仿宋"/>
                <w:b w:val="0"/>
                <w:bCs w:val="0"/>
                <w:i w:val="0"/>
                <w:iCs w:val="0"/>
                <w:color w:val="000000"/>
                <w:kern w:val="0"/>
                <w:sz w:val="21"/>
                <w:szCs w:val="21"/>
                <w:u w:val="none"/>
                <w:lang w:val="en-US" w:eastAsia="zh-CN" w:bidi="ar"/>
              </w:rPr>
              <w:t>武汉大学二级教授、珞珈特聘教授、博士生导师、图书馆副馆长。兼任全民数字素养与技能监测评估专家组成员、中国图书馆学会学术委员会副主任暨信息素养教育专业组组长、文化和旅游部基层公共数字文化服务研究院专家委员会委员、第六次全国公共图书馆评估专家、“全国图书馆未成年人服务提升计划”授课专家等，在《中国文化报》等媒体多次报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963" w:type="dxa"/>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12:</w:t>
            </w:r>
            <w:r>
              <w:rPr>
                <w:rStyle w:val="6"/>
                <w:rFonts w:hint="eastAsia" w:ascii="仿宋" w:hAnsi="仿宋" w:eastAsia="仿宋" w:cs="仿宋"/>
                <w:sz w:val="21"/>
                <w:szCs w:val="21"/>
                <w:lang w:val="en-US" w:eastAsia="zh-CN"/>
              </w:rPr>
              <w:t>00-13:00</w:t>
            </w:r>
          </w:p>
        </w:tc>
        <w:tc>
          <w:tcPr>
            <w:tcW w:w="80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SA"/>
              </w:rPr>
              <w:t>午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963" w:type="dxa"/>
            <w:vMerge w:val="continue"/>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1"/>
                <w:szCs w:val="21"/>
                <w:u w:val="none"/>
              </w:rPr>
            </w:pPr>
          </w:p>
        </w:tc>
        <w:tc>
          <w:tcPr>
            <w:tcW w:w="5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下午</w:t>
            </w:r>
          </w:p>
        </w:tc>
        <w:tc>
          <w:tcPr>
            <w:tcW w:w="142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w:t>
            </w:r>
            <w:r>
              <w:rPr>
                <w:rStyle w:val="7"/>
                <w:rFonts w:hint="eastAsia" w:ascii="仿宋" w:hAnsi="仿宋" w:eastAsia="仿宋" w:cs="仿宋"/>
                <w:sz w:val="21"/>
                <w:szCs w:val="21"/>
                <w:lang w:val="en-US" w:eastAsia="zh-CN"/>
              </w:rPr>
              <w:t>4:00</w:t>
            </w:r>
            <w:r>
              <w:rPr>
                <w:rStyle w:val="6"/>
                <w:rFonts w:hint="eastAsia" w:ascii="仿宋" w:hAnsi="仿宋" w:eastAsia="仿宋" w:cs="仿宋"/>
                <w:sz w:val="21"/>
                <w:szCs w:val="21"/>
                <w:lang w:val="en-US" w:eastAsia="zh-CN"/>
              </w:rPr>
              <w:t>-17:00</w:t>
            </w:r>
          </w:p>
        </w:tc>
        <w:tc>
          <w:tcPr>
            <w:tcW w:w="8027"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i w:val="0"/>
                <w:iCs w:val="0"/>
                <w:snapToGrid w:val="0"/>
                <w:color w:val="000000"/>
                <w:kern w:val="0"/>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报告主题：《全民阅读与高校图书馆阅读推广》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jc w:val="center"/>
        </w:trPr>
        <w:tc>
          <w:tcPr>
            <w:tcW w:w="963" w:type="dxa"/>
            <w:vMerge w:val="continue"/>
            <w:tcBorders>
              <w:left w:val="single" w:color="000000" w:sz="8"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sz w:val="21"/>
                <w:szCs w:val="21"/>
              </w:rPr>
            </w:pPr>
          </w:p>
        </w:tc>
        <w:tc>
          <w:tcPr>
            <w:tcW w:w="585"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rPr>
            </w:pPr>
          </w:p>
        </w:tc>
        <w:tc>
          <w:tcPr>
            <w:tcW w:w="1425"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p>
        </w:tc>
        <w:tc>
          <w:tcPr>
            <w:tcW w:w="8027"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both"/>
              <w:textAlignment w:val="auto"/>
              <w:rPr>
                <w:rFonts w:hint="eastAsia" w:ascii="仿宋" w:hAnsi="仿宋" w:eastAsia="仿宋" w:cs="仿宋"/>
                <w:b w:val="0"/>
                <w:bCs w:val="0"/>
                <w:i w:val="0"/>
                <w:iCs w:val="0"/>
                <w:color w:val="000000"/>
                <w:kern w:val="0"/>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 xml:space="preserve">黄鹏 </w:t>
            </w:r>
            <w:r>
              <w:rPr>
                <w:rFonts w:hint="eastAsia" w:ascii="仿宋" w:hAnsi="仿宋" w:eastAsia="仿宋" w:cs="仿宋"/>
                <w:b w:val="0"/>
                <w:bCs w:val="0"/>
                <w:i w:val="0"/>
                <w:iCs w:val="0"/>
                <w:color w:val="000000"/>
                <w:kern w:val="0"/>
                <w:sz w:val="21"/>
                <w:szCs w:val="21"/>
                <w:u w:val="none"/>
                <w:lang w:val="en-US" w:eastAsia="zh-CN" w:bidi="ar"/>
              </w:rPr>
              <w:t>1986年考入武汉大学图书馆学系。现为武汉大学图书馆副馆长，兼任中国图书馆学会阅读推广专业委员会大学生阅读推广专业组主任、湖北省图书馆学会古籍工作委员会副主任，湖北省高等学图书情报工作委员会副秘书长。2006 年赴美国伊利诺伊大学图书馆情报学研究生院研修。先后出版《康有为读书生涯》、《中国藏书家通典》、《自然的箫声》、《米芾集》等独著、合著十余部，发表各类文章 40 余篇。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96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3月26日</w:t>
            </w:r>
          </w:p>
        </w:tc>
        <w:tc>
          <w:tcPr>
            <w:tcW w:w="5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上午</w:t>
            </w:r>
          </w:p>
        </w:tc>
        <w:tc>
          <w:tcPr>
            <w:tcW w:w="142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9</w:t>
            </w:r>
            <w:r>
              <w:rPr>
                <w:rStyle w:val="6"/>
                <w:rFonts w:hint="eastAsia" w:ascii="仿宋" w:hAnsi="仿宋" w:eastAsia="仿宋" w:cs="仿宋"/>
                <w:sz w:val="21"/>
                <w:szCs w:val="21"/>
                <w:lang w:val="en-US" w:eastAsia="zh-CN"/>
              </w:rPr>
              <w:t>:00-10:30</w:t>
            </w:r>
          </w:p>
        </w:tc>
        <w:tc>
          <w:tcPr>
            <w:tcW w:w="8027" w:type="dxa"/>
            <w:gridSpan w:val="2"/>
            <w:tcBorders>
              <w:top w:val="single" w:color="auto" w:sz="4" w:space="0"/>
              <w:left w:val="single" w:color="auto" w:sz="4" w:space="0"/>
              <w:right w:val="single" w:color="auto" w:sz="4" w:space="0"/>
            </w:tcBorders>
            <w:noWrap w:val="0"/>
            <w:vAlign w:val="center"/>
          </w:tcPr>
          <w:p>
            <w:pPr>
              <w:pStyle w:val="2"/>
              <w:rPr>
                <w:rFonts w:hint="eastAsia" w:ascii="仿宋" w:hAnsi="仿宋" w:eastAsia="仿宋" w:cs="仿宋"/>
                <w:b w:val="0"/>
                <w:bCs w:val="0"/>
                <w:i w:val="0"/>
                <w:iCs w:val="0"/>
                <w:color w:val="000000"/>
                <w:sz w:val="21"/>
                <w:szCs w:val="21"/>
                <w:u w:val="none"/>
                <w:lang w:val="en-US" w:eastAsia="zh-CN"/>
              </w:rPr>
            </w:pPr>
            <w:r>
              <w:rPr>
                <w:rFonts w:hint="eastAsia" w:ascii="仿宋_GB2312" w:hAnsi="仿宋_GB2312" w:eastAsia="仿宋_GB2312" w:cs="仿宋_GB2312"/>
                <w:b/>
                <w:bCs/>
                <w:i w:val="0"/>
                <w:iCs w:val="0"/>
                <w:color w:val="000000"/>
                <w:kern w:val="0"/>
                <w:sz w:val="21"/>
                <w:szCs w:val="21"/>
                <w:u w:val="none"/>
                <w:lang w:val="en-US" w:eastAsia="zh-CN" w:bidi="ar"/>
              </w:rPr>
              <w:t>报告主题：《高校图书馆宣传推广矩阵的职能与搭建策略》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jc w:val="center"/>
        </w:trPr>
        <w:tc>
          <w:tcPr>
            <w:tcW w:w="963" w:type="dxa"/>
            <w:vMerge w:val="continue"/>
            <w:tcBorders>
              <w:left w:val="single" w:color="auto" w:sz="4" w:space="0"/>
              <w:right w:val="single" w:color="auto" w:sz="4" w:space="0"/>
            </w:tcBorders>
            <w:noWrap w:val="0"/>
            <w:vAlign w:val="center"/>
          </w:tcPr>
          <w:p>
            <w:pPr>
              <w:pStyle w:val="2"/>
            </w:pPr>
          </w:p>
        </w:tc>
        <w:tc>
          <w:tcPr>
            <w:tcW w:w="585" w:type="dxa"/>
            <w:vMerge w:val="continue"/>
            <w:tcBorders>
              <w:left w:val="single" w:color="auto" w:sz="4" w:space="0"/>
              <w:right w:val="single" w:color="auto" w:sz="4" w:space="0"/>
            </w:tcBorders>
            <w:noWrap w:val="0"/>
            <w:vAlign w:val="center"/>
          </w:tcPr>
          <w:p>
            <w:pPr>
              <w:pStyle w:val="2"/>
            </w:pPr>
          </w:p>
        </w:tc>
        <w:tc>
          <w:tcPr>
            <w:tcW w:w="1425" w:type="dxa"/>
            <w:vMerge w:val="continue"/>
            <w:tcBorders>
              <w:left w:val="single" w:color="auto" w:sz="4" w:space="0"/>
              <w:bottom w:val="single" w:color="auto" w:sz="4" w:space="0"/>
              <w:right w:val="single" w:color="auto" w:sz="4" w:space="0"/>
            </w:tcBorders>
            <w:noWrap w:val="0"/>
            <w:vAlign w:val="center"/>
          </w:tcPr>
          <w:p>
            <w:pPr>
              <w:pStyle w:val="2"/>
            </w:pPr>
          </w:p>
        </w:tc>
        <w:tc>
          <w:tcPr>
            <w:tcW w:w="8027" w:type="dxa"/>
            <w:gridSpan w:val="2"/>
            <w:tcBorders>
              <w:top w:val="single" w:color="auto" w:sz="4" w:space="0"/>
              <w:left w:val="single" w:color="auto" w:sz="4" w:space="0"/>
              <w:right w:val="single" w:color="auto" w:sz="4" w:space="0"/>
            </w:tcBorders>
            <w:noWrap w:val="0"/>
            <w:vAlign w:val="center"/>
          </w:tcPr>
          <w:p>
            <w:pPr>
              <w:pStyle w:val="2"/>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 xml:space="preserve">陆敏 </w:t>
            </w:r>
            <w:r>
              <w:rPr>
                <w:rFonts w:hint="eastAsia" w:ascii="仿宋" w:hAnsi="仿宋" w:eastAsia="仿宋" w:cs="仿宋"/>
                <w:b w:val="0"/>
                <w:bCs w:val="0"/>
                <w:i w:val="0"/>
                <w:iCs w:val="0"/>
                <w:snapToGrid w:val="0"/>
                <w:color w:val="000000"/>
                <w:kern w:val="0"/>
                <w:sz w:val="21"/>
                <w:szCs w:val="21"/>
                <w:u w:val="none"/>
                <w:lang w:val="en-US" w:eastAsia="zh-CN" w:bidi="ar"/>
              </w:rPr>
              <w:t>武汉大学咨询与推广部主任，副研究馆员。长期从事信息素养教育及阅读推广工作。作为主要负责人策划组织湖北省及中南七省高校"学术搜索挑战赛"、湖北省高校"经典诵读大赛"等多项大型赛事，并带领团队获得IFLA 国际营销奖、中图学会全民阅读推广优秀案例，全国高校图书馆阅读推广案例大赛一等奖等各级各类奖项数十项。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963" w:type="dxa"/>
            <w:vMerge w:val="continue"/>
            <w:tcBorders>
              <w:left w:val="single" w:color="auto" w:sz="4" w:space="0"/>
              <w:right w:val="single" w:color="auto" w:sz="4" w:space="0"/>
            </w:tcBorders>
            <w:noWrap w:val="0"/>
            <w:vAlign w:val="center"/>
          </w:tcPr>
          <w:p>
            <w:pPr>
              <w:pStyle w:val="2"/>
            </w:pPr>
          </w:p>
        </w:tc>
        <w:tc>
          <w:tcPr>
            <w:tcW w:w="585" w:type="dxa"/>
            <w:vMerge w:val="continue"/>
            <w:tcBorders>
              <w:left w:val="single" w:color="auto" w:sz="4" w:space="0"/>
              <w:bottom w:val="single" w:color="auto" w:sz="4" w:space="0"/>
              <w:right w:val="single" w:color="auto" w:sz="4" w:space="0"/>
            </w:tcBorders>
            <w:noWrap w:val="0"/>
            <w:vAlign w:val="center"/>
          </w:tcPr>
          <w:p>
            <w:pPr>
              <w:pStyle w:val="2"/>
            </w:pPr>
          </w:p>
        </w:tc>
        <w:tc>
          <w:tcPr>
            <w:tcW w:w="1425" w:type="dxa"/>
            <w:vMerge w:val="restart"/>
            <w:tcBorders>
              <w:top w:val="single" w:color="auto" w:sz="4" w:space="0"/>
              <w:left w:val="single" w:color="auto" w:sz="4" w:space="0"/>
              <w:right w:val="single" w:color="auto" w:sz="4" w:space="0"/>
            </w:tcBorders>
            <w:noWrap w:val="0"/>
            <w:vAlign w:val="center"/>
          </w:tcPr>
          <w:p>
            <w:pPr>
              <w:pStyle w:val="2"/>
            </w:pPr>
            <w:r>
              <w:rPr>
                <w:rFonts w:hint="eastAsia" w:ascii="仿宋" w:hAnsi="仿宋" w:eastAsia="仿宋" w:cs="仿宋"/>
                <w:i w:val="0"/>
                <w:iCs w:val="0"/>
                <w:color w:val="000000"/>
                <w:kern w:val="0"/>
                <w:sz w:val="21"/>
                <w:szCs w:val="21"/>
                <w:u w:val="none"/>
                <w:lang w:val="en-US" w:eastAsia="zh-CN"/>
              </w:rPr>
              <w:t>10</w:t>
            </w:r>
            <w:r>
              <w:rPr>
                <w:rStyle w:val="6"/>
                <w:rFonts w:hint="eastAsia" w:ascii="仿宋" w:hAnsi="仿宋" w:eastAsia="仿宋" w:cs="仿宋"/>
                <w:sz w:val="21"/>
                <w:szCs w:val="21"/>
                <w:lang w:val="en-US" w:eastAsia="zh-CN"/>
              </w:rPr>
              <w:t>:40-12:00</w:t>
            </w:r>
          </w:p>
        </w:tc>
        <w:tc>
          <w:tcPr>
            <w:tcW w:w="8027" w:type="dxa"/>
            <w:gridSpan w:val="2"/>
            <w:tcBorders>
              <w:top w:val="single" w:color="auto" w:sz="4" w:space="0"/>
              <w:left w:val="single" w:color="auto" w:sz="4" w:space="0"/>
              <w:right w:val="single" w:color="auto" w:sz="4" w:space="0"/>
            </w:tcBorders>
            <w:noWrap w:val="0"/>
            <w:vAlign w:val="center"/>
          </w:tcPr>
          <w:p>
            <w:pPr>
              <w:pStyle w:val="2"/>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报告主题：《高校图书馆推广活动也能活色生香》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963" w:type="dxa"/>
            <w:vMerge w:val="continue"/>
            <w:tcBorders>
              <w:left w:val="single" w:color="auto" w:sz="4" w:space="0"/>
              <w:right w:val="single" w:color="auto" w:sz="4" w:space="0"/>
            </w:tcBorders>
            <w:noWrap w:val="0"/>
            <w:vAlign w:val="center"/>
          </w:tcPr>
          <w:p>
            <w:pPr>
              <w:pStyle w:val="2"/>
            </w:pPr>
          </w:p>
        </w:tc>
        <w:tc>
          <w:tcPr>
            <w:tcW w:w="585" w:type="dxa"/>
            <w:vMerge w:val="continue"/>
            <w:tcBorders>
              <w:left w:val="single" w:color="auto" w:sz="4" w:space="0"/>
              <w:bottom w:val="single" w:color="auto" w:sz="4" w:space="0"/>
              <w:right w:val="single" w:color="auto" w:sz="4" w:space="0"/>
            </w:tcBorders>
            <w:noWrap w:val="0"/>
            <w:vAlign w:val="center"/>
          </w:tcPr>
          <w:p>
            <w:pPr>
              <w:pStyle w:val="2"/>
            </w:pPr>
          </w:p>
        </w:tc>
        <w:tc>
          <w:tcPr>
            <w:tcW w:w="1425" w:type="dxa"/>
            <w:vMerge w:val="continue"/>
            <w:tcBorders>
              <w:left w:val="single" w:color="auto" w:sz="4" w:space="0"/>
              <w:bottom w:val="single" w:color="auto" w:sz="4" w:space="0"/>
              <w:right w:val="single" w:color="auto" w:sz="4" w:space="0"/>
            </w:tcBorders>
            <w:noWrap w:val="0"/>
            <w:vAlign w:val="center"/>
          </w:tcPr>
          <w:p>
            <w:pPr>
              <w:pStyle w:val="2"/>
            </w:pPr>
          </w:p>
        </w:tc>
        <w:tc>
          <w:tcPr>
            <w:tcW w:w="8027" w:type="dxa"/>
            <w:gridSpan w:val="2"/>
            <w:tcBorders>
              <w:top w:val="single" w:color="auto" w:sz="4" w:space="0"/>
              <w:left w:val="single" w:color="auto" w:sz="4" w:space="0"/>
              <w:right w:val="single" w:color="auto" w:sz="4" w:space="0"/>
            </w:tcBorders>
            <w:noWrap w:val="0"/>
            <w:vAlign w:val="center"/>
          </w:tcPr>
          <w:p>
            <w:pPr>
              <w:pStyle w:val="2"/>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 w:hAnsi="仿宋" w:eastAsia="仿宋" w:cs="仿宋"/>
                <w:b/>
                <w:bCs/>
                <w:i w:val="0"/>
                <w:iCs w:val="0"/>
                <w:color w:val="000000"/>
                <w:sz w:val="21"/>
                <w:szCs w:val="21"/>
                <w:u w:val="none"/>
                <w:lang w:val="en-US" w:eastAsia="zh-CN"/>
              </w:rPr>
              <w:t xml:space="preserve">凃艳玲 </w:t>
            </w:r>
            <w:r>
              <w:rPr>
                <w:rFonts w:hint="eastAsia" w:ascii="仿宋" w:hAnsi="仿宋" w:eastAsia="仿宋" w:cs="仿宋"/>
                <w:b w:val="0"/>
                <w:bCs w:val="0"/>
                <w:i w:val="0"/>
                <w:iCs w:val="0"/>
                <w:color w:val="000000"/>
                <w:sz w:val="21"/>
                <w:szCs w:val="21"/>
                <w:u w:val="none"/>
                <w:lang w:val="en-US" w:eastAsia="zh-CN"/>
              </w:rPr>
              <w:t>武汉大学图书馆咨询与推广部副部主任，馆员。自2012 年开始负责图书馆文化活动、宣传推广事宜，2014年负责开发的经典阅读游戏《拯救小布之消失的经典》荣获教育部图工委“首届全国高校图书馆阅读推广案例一等奖”；2017年负责开发的 H5版《一封来自小布的毕业情书》荣获2018 年“首届图书馆新媒体创新服务案例评选”二等奖。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963" w:type="dxa"/>
            <w:vMerge w:val="continue"/>
            <w:tcBorders>
              <w:left w:val="single" w:color="auto" w:sz="4" w:space="0"/>
              <w:right w:val="single" w:color="auto" w:sz="4" w:space="0"/>
            </w:tcBorders>
            <w:noWrap w:val="0"/>
            <w:vAlign w:val="center"/>
          </w:tcPr>
          <w:p>
            <w:pPr>
              <w:jc w:val="center"/>
              <w:rPr>
                <w:rFonts w:hint="eastAsia" w:ascii="仿宋" w:hAnsi="仿宋" w:eastAsia="仿宋" w:cs="仿宋"/>
                <w:i w:val="0"/>
                <w:iCs w:val="0"/>
                <w:color w:val="000000"/>
                <w:sz w:val="21"/>
                <w:szCs w:val="21"/>
                <w:u w:val="none"/>
              </w:rPr>
            </w:pPr>
          </w:p>
        </w:tc>
        <w:tc>
          <w:tcPr>
            <w:tcW w:w="20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12:</w:t>
            </w:r>
            <w:r>
              <w:rPr>
                <w:rStyle w:val="6"/>
                <w:rFonts w:hint="eastAsia" w:ascii="仿宋" w:hAnsi="仿宋" w:eastAsia="仿宋" w:cs="仿宋"/>
                <w:sz w:val="21"/>
                <w:szCs w:val="21"/>
                <w:lang w:val="en-US" w:eastAsia="zh-CN"/>
              </w:rPr>
              <w:t>00-13:00</w:t>
            </w:r>
          </w:p>
        </w:tc>
        <w:tc>
          <w:tcPr>
            <w:tcW w:w="80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午  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963"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1"/>
                <w:szCs w:val="21"/>
                <w:u w:val="none"/>
              </w:rPr>
            </w:pPr>
          </w:p>
        </w:tc>
        <w:tc>
          <w:tcPr>
            <w:tcW w:w="5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下午</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w:t>
            </w:r>
            <w:r>
              <w:rPr>
                <w:rStyle w:val="6"/>
                <w:rFonts w:hint="eastAsia" w:ascii="仿宋" w:hAnsi="仿宋" w:eastAsia="仿宋" w:cs="仿宋"/>
                <w:sz w:val="21"/>
                <w:szCs w:val="21"/>
                <w:lang w:val="en-US" w:eastAsia="zh-CN"/>
              </w:rPr>
              <w:t>4:00-15:30</w:t>
            </w:r>
          </w:p>
        </w:tc>
        <w:tc>
          <w:tcPr>
            <w:tcW w:w="8027" w:type="dxa"/>
            <w:gridSpan w:val="2"/>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仿宋" w:hAnsi="仿宋" w:eastAsia="仿宋" w:cs="仿宋"/>
                <w:b w:val="0"/>
                <w:bCs w:val="0"/>
                <w:i w:val="0"/>
                <w:iCs w:val="0"/>
                <w:color w:val="000000"/>
                <w:kern w:val="0"/>
                <w:sz w:val="21"/>
                <w:szCs w:val="21"/>
                <w:u w:val="none"/>
                <w:lang w:val="en-US" w:eastAsia="zh-CN" w:bidi="ar-SA"/>
              </w:rPr>
            </w:pPr>
            <w:r>
              <w:rPr>
                <w:rFonts w:hint="eastAsia" w:ascii="仿宋_GB2312" w:hAnsi="仿宋_GB2312" w:eastAsia="仿宋_GB2312" w:cs="仿宋_GB2312"/>
                <w:b/>
                <w:bCs/>
                <w:i w:val="0"/>
                <w:iCs w:val="0"/>
                <w:color w:val="000000"/>
                <w:kern w:val="0"/>
                <w:sz w:val="21"/>
                <w:szCs w:val="21"/>
                <w:u w:val="none"/>
                <w:lang w:val="en-US" w:eastAsia="zh-CN" w:bidi="ar"/>
              </w:rPr>
              <w:t>报告主题：《国家数字文化战略下的图书馆文化创意开发新图景》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jc w:val="center"/>
        </w:trPr>
        <w:tc>
          <w:tcPr>
            <w:tcW w:w="963" w:type="dxa"/>
            <w:vMerge w:val="continue"/>
            <w:tcBorders>
              <w:left w:val="single" w:color="auto" w:sz="4" w:space="0"/>
              <w:bottom w:val="single" w:color="auto" w:sz="4" w:space="0"/>
              <w:right w:val="single" w:color="auto" w:sz="4" w:space="0"/>
            </w:tcBorders>
            <w:noWrap w:val="0"/>
            <w:vAlign w:val="center"/>
          </w:tcPr>
          <w:p>
            <w:pPr>
              <w:pStyle w:val="2"/>
            </w:pPr>
          </w:p>
        </w:tc>
        <w:tc>
          <w:tcPr>
            <w:tcW w:w="585" w:type="dxa"/>
            <w:vMerge w:val="continue"/>
            <w:tcBorders>
              <w:left w:val="single" w:color="auto" w:sz="4" w:space="0"/>
              <w:right w:val="single" w:color="auto" w:sz="4" w:space="0"/>
            </w:tcBorders>
            <w:noWrap w:val="0"/>
            <w:vAlign w:val="center"/>
          </w:tcPr>
          <w:p>
            <w:pPr>
              <w:pStyle w:val="2"/>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仿宋" w:hAnsi="仿宋" w:eastAsia="仿宋" w:cs="仿宋"/>
                <w:i w:val="0"/>
                <w:iCs w:val="0"/>
                <w:color w:val="000000"/>
                <w:kern w:val="0"/>
                <w:sz w:val="21"/>
                <w:szCs w:val="21"/>
                <w:u w:val="none"/>
                <w:lang w:val="en-US" w:eastAsia="zh-CN"/>
              </w:rPr>
            </w:pPr>
          </w:p>
        </w:tc>
        <w:tc>
          <w:tcPr>
            <w:tcW w:w="8027" w:type="dxa"/>
            <w:gridSpan w:val="2"/>
            <w:tcBorders>
              <w:top w:val="single" w:color="auto" w:sz="4" w:space="0"/>
              <w:left w:val="single" w:color="auto" w:sz="4" w:space="0"/>
              <w:right w:val="single" w:color="auto" w:sz="4" w:space="0"/>
            </w:tcBorders>
            <w:noWrap w:val="0"/>
            <w:vAlign w:val="center"/>
          </w:tcPr>
          <w:p>
            <w:pPr>
              <w:pStyle w:val="2"/>
              <w:jc w:val="left"/>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rPr>
              <w:t xml:space="preserve">王玉珏 </w:t>
            </w:r>
            <w:r>
              <w:rPr>
                <w:rFonts w:hint="eastAsia" w:ascii="仿宋" w:hAnsi="仿宋" w:eastAsia="仿宋" w:cs="仿宋"/>
                <w:i w:val="0"/>
                <w:iCs w:val="0"/>
                <w:color w:val="000000"/>
                <w:kern w:val="0"/>
                <w:sz w:val="21"/>
                <w:szCs w:val="21"/>
                <w:u w:val="none"/>
                <w:lang w:val="en-US" w:eastAsia="zh-CN"/>
              </w:rPr>
              <w:t>武汉大学信息管理学院教授、博士生导师。湖北省“楚天学子”、武汉大学“珞珈青年学者”，亚洲首位“国际档案理事会青年奖”获得者。现任联合国教科文组织全国委员会咨询专家、国际档案理事会中文社交媒体负责人。武汉大学中法中心、中法人文研究中心主任，《法国研究》副主编兼编辑部主任。2017—2019年受教育部委派在中国驻法使馆教育处工作，历任三等秘书、二等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63" w:type="dxa"/>
            <w:vMerge w:val="continue"/>
            <w:tcBorders>
              <w:left w:val="single" w:color="auto" w:sz="4" w:space="0"/>
              <w:bottom w:val="single" w:color="auto" w:sz="4" w:space="0"/>
              <w:right w:val="single" w:color="auto" w:sz="4" w:space="0"/>
            </w:tcBorders>
            <w:noWrap w:val="0"/>
            <w:vAlign w:val="center"/>
          </w:tcPr>
          <w:p>
            <w:pPr>
              <w:pStyle w:val="2"/>
              <w:jc w:val="left"/>
              <w:rPr>
                <w:rFonts w:hint="eastAsia" w:ascii="仿宋" w:hAnsi="仿宋" w:eastAsia="仿宋" w:cs="仿宋"/>
                <w:i w:val="0"/>
                <w:iCs w:val="0"/>
                <w:color w:val="000000"/>
                <w:kern w:val="0"/>
                <w:sz w:val="21"/>
                <w:szCs w:val="21"/>
                <w:u w:val="none"/>
                <w:lang w:val="en-US" w:eastAsia="zh-CN"/>
              </w:rPr>
            </w:pPr>
          </w:p>
        </w:tc>
        <w:tc>
          <w:tcPr>
            <w:tcW w:w="585" w:type="dxa"/>
            <w:vMerge w:val="continue"/>
            <w:tcBorders>
              <w:left w:val="single" w:color="auto" w:sz="4" w:space="0"/>
              <w:right w:val="single" w:color="auto" w:sz="4" w:space="0"/>
            </w:tcBorders>
            <w:noWrap w:val="0"/>
            <w:vAlign w:val="center"/>
          </w:tcPr>
          <w:p>
            <w:pPr>
              <w:pStyle w:val="2"/>
              <w:jc w:val="left"/>
              <w:rPr>
                <w:rFonts w:hint="eastAsia" w:ascii="仿宋" w:hAnsi="仿宋" w:eastAsia="仿宋" w:cs="仿宋"/>
                <w:i w:val="0"/>
                <w:iCs w:val="0"/>
                <w:color w:val="000000"/>
                <w:kern w:val="0"/>
                <w:sz w:val="21"/>
                <w:szCs w:val="21"/>
                <w:u w:val="none"/>
                <w:lang w:val="en-US" w:eastAsia="zh-CN"/>
              </w:rPr>
            </w:pP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jc w:val="left"/>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w:t>
            </w:r>
            <w:r>
              <w:rPr>
                <w:rStyle w:val="6"/>
                <w:rFonts w:hint="eastAsia" w:ascii="仿宋" w:hAnsi="仿宋" w:eastAsia="仿宋" w:cs="仿宋"/>
                <w:sz w:val="21"/>
                <w:szCs w:val="21"/>
                <w:lang w:val="en-US" w:eastAsia="zh-CN"/>
              </w:rPr>
              <w:t>5:40-17:00</w:t>
            </w:r>
          </w:p>
        </w:tc>
        <w:tc>
          <w:tcPr>
            <w:tcW w:w="8027" w:type="dxa"/>
            <w:gridSpan w:val="2"/>
            <w:tcBorders>
              <w:top w:val="single" w:color="auto" w:sz="4" w:space="0"/>
              <w:left w:val="single" w:color="auto" w:sz="4" w:space="0"/>
              <w:right w:val="single" w:color="auto" w:sz="4" w:space="0"/>
            </w:tcBorders>
            <w:noWrap w:val="0"/>
            <w:vAlign w:val="center"/>
          </w:tcPr>
          <w:p>
            <w:pPr>
              <w:pStyle w:val="2"/>
              <w:jc w:val="left"/>
              <w:rPr>
                <w:rFonts w:hint="eastAsia" w:ascii="仿宋" w:hAnsi="仿宋" w:eastAsia="仿宋" w:cs="仿宋"/>
                <w:i w:val="0"/>
                <w:iCs w:val="0"/>
                <w:color w:val="000000"/>
                <w:kern w:val="0"/>
                <w:sz w:val="21"/>
                <w:szCs w:val="21"/>
                <w:u w:val="none"/>
                <w:lang w:val="en-US" w:eastAsia="zh-CN"/>
              </w:rPr>
            </w:pPr>
            <w:r>
              <w:rPr>
                <w:rFonts w:hint="eastAsia" w:ascii="仿宋_GB2312" w:hAnsi="仿宋_GB2312" w:eastAsia="仿宋_GB2312" w:cs="仿宋_GB2312"/>
                <w:b/>
                <w:bCs/>
                <w:i w:val="0"/>
                <w:iCs w:val="0"/>
                <w:color w:val="000000"/>
                <w:kern w:val="0"/>
                <w:sz w:val="21"/>
                <w:szCs w:val="21"/>
                <w:u w:val="none"/>
                <w:lang w:val="en-US" w:eastAsia="zh-CN" w:bidi="ar"/>
              </w:rPr>
              <w:t>报告主题：《如何简单明了地制作一个短视频》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3" w:type="dxa"/>
            <w:vMerge w:val="continue"/>
            <w:tcBorders>
              <w:left w:val="single" w:color="auto" w:sz="4" w:space="0"/>
              <w:bottom w:val="single" w:color="auto" w:sz="4" w:space="0"/>
              <w:right w:val="single" w:color="auto" w:sz="4" w:space="0"/>
            </w:tcBorders>
            <w:noWrap w:val="0"/>
            <w:vAlign w:val="center"/>
          </w:tcPr>
          <w:p>
            <w:pPr>
              <w:pStyle w:val="2"/>
              <w:jc w:val="left"/>
              <w:rPr>
                <w:rFonts w:hint="eastAsia" w:ascii="仿宋" w:hAnsi="仿宋" w:eastAsia="仿宋" w:cs="仿宋"/>
                <w:i w:val="0"/>
                <w:iCs w:val="0"/>
                <w:color w:val="000000"/>
                <w:kern w:val="0"/>
                <w:sz w:val="21"/>
                <w:szCs w:val="21"/>
                <w:u w:val="none"/>
                <w:lang w:val="en-US" w:eastAsia="zh-CN"/>
              </w:rPr>
            </w:pPr>
          </w:p>
        </w:tc>
        <w:tc>
          <w:tcPr>
            <w:tcW w:w="585" w:type="dxa"/>
            <w:vMerge w:val="continue"/>
            <w:tcBorders>
              <w:left w:val="single" w:color="auto" w:sz="4" w:space="0"/>
              <w:right w:val="single" w:color="auto" w:sz="4" w:space="0"/>
            </w:tcBorders>
            <w:noWrap w:val="0"/>
            <w:vAlign w:val="center"/>
          </w:tcPr>
          <w:p>
            <w:pPr>
              <w:pStyle w:val="2"/>
              <w:jc w:val="left"/>
              <w:rPr>
                <w:rFonts w:hint="eastAsia" w:ascii="仿宋" w:hAnsi="仿宋" w:eastAsia="仿宋" w:cs="仿宋"/>
                <w:i w:val="0"/>
                <w:iCs w:val="0"/>
                <w:color w:val="000000"/>
                <w:kern w:val="0"/>
                <w:sz w:val="21"/>
                <w:szCs w:val="21"/>
                <w:u w:val="none"/>
                <w:lang w:val="en-US" w:eastAsia="zh-CN"/>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jc w:val="left"/>
              <w:rPr>
                <w:rFonts w:hint="eastAsia" w:ascii="仿宋" w:hAnsi="仿宋" w:eastAsia="仿宋" w:cs="仿宋"/>
                <w:i w:val="0"/>
                <w:iCs w:val="0"/>
                <w:color w:val="000000"/>
                <w:kern w:val="0"/>
                <w:sz w:val="21"/>
                <w:szCs w:val="21"/>
                <w:u w:val="none"/>
                <w:lang w:val="en-US" w:eastAsia="zh-CN"/>
              </w:rPr>
            </w:pPr>
          </w:p>
        </w:tc>
        <w:tc>
          <w:tcPr>
            <w:tcW w:w="8027" w:type="dxa"/>
            <w:gridSpan w:val="2"/>
            <w:tcBorders>
              <w:top w:val="single" w:color="auto" w:sz="4" w:space="0"/>
              <w:left w:val="single" w:color="auto" w:sz="4" w:space="0"/>
              <w:right w:val="single" w:color="auto" w:sz="4" w:space="0"/>
            </w:tcBorders>
            <w:noWrap w:val="0"/>
            <w:vAlign w:val="center"/>
          </w:tcPr>
          <w:p>
            <w:pPr>
              <w:pStyle w:val="2"/>
              <w:jc w:val="left"/>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 xml:space="preserve">张绚丽 </w:t>
            </w:r>
            <w:r>
              <w:rPr>
                <w:rFonts w:hint="eastAsia" w:ascii="仿宋" w:hAnsi="仿宋" w:eastAsia="仿宋" w:cs="仿宋"/>
                <w:i w:val="0"/>
                <w:iCs w:val="0"/>
                <w:color w:val="000000"/>
                <w:kern w:val="0"/>
                <w:sz w:val="21"/>
                <w:szCs w:val="21"/>
                <w:u w:val="none"/>
                <w:lang w:val="en-US" w:eastAsia="zh-CN"/>
              </w:rPr>
              <w:t>华中科技大学图书馆综合办公室宣传与阅读推广小组组长。多次荣获全国高校图书馆阅读推广案例大赛奖项。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3月27日</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rPr>
              <w:t>全天</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rPr>
              <w:t>9</w:t>
            </w:r>
            <w:r>
              <w:rPr>
                <w:rStyle w:val="6"/>
                <w:rFonts w:hint="eastAsia" w:ascii="仿宋" w:hAnsi="仿宋" w:eastAsia="仿宋" w:cs="仿宋"/>
                <w:sz w:val="21"/>
                <w:szCs w:val="21"/>
                <w:lang w:val="en-US" w:eastAsia="zh-CN"/>
              </w:rPr>
              <w:t>:00-17:00</w:t>
            </w:r>
          </w:p>
        </w:tc>
        <w:tc>
          <w:tcPr>
            <w:tcW w:w="80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SA"/>
              </w:rPr>
              <w:t>返 程</w:t>
            </w:r>
          </w:p>
        </w:tc>
      </w:tr>
    </w:tbl>
    <w:p>
      <w:pPr>
        <w:tabs>
          <w:tab w:val="left" w:pos="9720"/>
        </w:tabs>
        <w:spacing w:line="320" w:lineRule="exact"/>
        <w:rPr>
          <w:rFonts w:hint="eastAsia" w:ascii="宋体" w:hAnsi="宋体" w:eastAsia="宋体" w:cs="宋体"/>
          <w:szCs w:val="21"/>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实际日程请以开班当天安排为准。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mRhOTg3ZDE1NmY3NGE1YzhhZDhhZmFmMGUxY2UifQ=="/>
  </w:docVars>
  <w:rsids>
    <w:rsidRoot w:val="1B647B2B"/>
    <w:rsid w:val="08056C47"/>
    <w:rsid w:val="1B64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1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844</Words>
  <Characters>975</Characters>
  <Lines>0</Lines>
  <Paragraphs>0</Paragraphs>
  <TotalTime>1</TotalTime>
  <ScaleCrop>false</ScaleCrop>
  <LinksUpToDate>false</LinksUpToDate>
  <CharactersWithSpaces>989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2023-02-09T01:48:00Z</dcterms:created>
  <dc:creator>V</dc:creator>
  <cp:lastModifiedBy>HMF</cp:lastModifiedBy>
  <dcterms:modified xsi:type="dcterms:W3CDTF">2023-02-10T07:29:12Z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7BEF22D9246D4FD18B5DE02C169D48D2</vt:lpwstr>
  </property>
</Properties>
</file>