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黑体" w:eastAsia="黑体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日程安排（拟定）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47"/>
        <w:gridCol w:w="1494"/>
        <w:gridCol w:w="4598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15" w:type="dxa"/>
            <w:gridSpan w:val="3"/>
            <w:tcBorders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 间</w:t>
            </w:r>
          </w:p>
        </w:tc>
        <w:tc>
          <w:tcPr>
            <w:tcW w:w="45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主要内容</w:t>
            </w:r>
          </w:p>
        </w:tc>
        <w:tc>
          <w:tcPr>
            <w:tcW w:w="22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12月1日</w:t>
            </w:r>
          </w:p>
        </w:tc>
        <w:tc>
          <w:tcPr>
            <w:tcW w:w="224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9:00-20:</w:t>
            </w: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00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签到，领取资料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7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12月2日</w:t>
            </w:r>
          </w:p>
        </w:tc>
        <w:tc>
          <w:tcPr>
            <w:tcW w:w="747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4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8:55-9:00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</w:t>
            </w: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-11:30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747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149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报告代表：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华南农业大学相关部门领导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00-13:00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49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Style w:val="9"/>
                <w:rFonts w:hint="eastAsia" w:ascii="仿宋" w:hAnsi="仿宋" w:eastAsia="仿宋" w:cs="仿宋"/>
                <w:b w:val="0"/>
                <w:lang w:val="en-US" w:eastAsia="zh-CN"/>
              </w:rPr>
              <w:t>:00</w:t>
            </w: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-17:30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报告主题：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新时代高校党建“双创”工作体会与思考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747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149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报告代表：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山东青年政治学院马克思主义学院相关领导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12月3日</w:t>
            </w:r>
          </w:p>
        </w:tc>
        <w:tc>
          <w:tcPr>
            <w:tcW w:w="747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49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:00-11:30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第四批高校党建“双创”暨样板党支部书记工作的思考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747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149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rPr>
                <w:rStyle w:val="10"/>
                <w:rFonts w:hint="default" w:ascii="仿宋" w:hAnsi="仿宋" w:eastAsia="仿宋" w:cs="仿宋"/>
                <w:b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报告代表：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浙江工商职院党支部书记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00-13:00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午 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49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4:00-17:30</w:t>
            </w: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报告主题：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教育部第二批“全国党建工作样板支部”创建经验分享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747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1494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8"/>
              <w:rPr>
                <w:b w:val="0"/>
                <w:color w:val="000000"/>
              </w:rPr>
            </w:pP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pStyle w:val="8"/>
              <w:rPr>
                <w:rStyle w:val="10"/>
                <w:rFonts w:hint="default" w:ascii="仿宋" w:hAnsi="仿宋" w:eastAsia="仿宋" w:cs="仿宋"/>
                <w:b w:val="0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lang w:val="en-US" w:eastAsia="zh-CN"/>
              </w:rPr>
              <w:t>报告代表：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lang w:val="en-US" w:eastAsia="zh-CN"/>
              </w:rPr>
              <w:t>教育部第二批“全国党建工作样板支部”代表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12月4日</w:t>
            </w:r>
          </w:p>
        </w:tc>
        <w:tc>
          <w:tcPr>
            <w:tcW w:w="224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仿宋" w:hAnsi="仿宋" w:eastAsia="仿宋" w:cs="仿宋"/>
                <w:b w:val="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全天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仿宋" w:hAnsi="仿宋" w:eastAsia="仿宋" w:cs="仿宋"/>
                <w:b w:val="0"/>
                <w:lang w:val="en-US" w:eastAsia="zh-CN"/>
              </w:rPr>
            </w:pPr>
          </w:p>
        </w:tc>
        <w:tc>
          <w:tcPr>
            <w:tcW w:w="689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仿宋" w:hAnsi="仿宋" w:eastAsia="仿宋" w:cs="仿宋"/>
                <w:b w:val="0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lang w:val="en-US" w:eastAsia="zh-CN"/>
              </w:rPr>
              <w:t>返程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/>
        </w:rPr>
        <w:sectPr>
          <w:pgSz w:w="11906" w:h="16838"/>
          <w:pgMar w:top="2154" w:right="1474" w:bottom="2041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班当天安排为准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44635C-579B-40DB-9EA9-ED70E6E32E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6292F8-F07C-4180-8BFE-BF4D364AC3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62AE393-5EE6-4593-97F9-E29CF2DDB0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12E83239"/>
    <w:rsid w:val="62A6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2023-10-12T02:08:00Z</dcterms:created>
  <dc:creator>45381</dc:creator>
  <cp:lastModifiedBy>马金埊</cp:lastModifiedBy>
  <dcterms:modified xsi:type="dcterms:W3CDTF">2023-10-12T02:40:24Z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8FE96CBD286D4508931FF76E1A05A5E2_12</vt:lpwstr>
  </property>
</Properties>
</file>