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720"/>
        </w:tabs>
        <w:spacing w:line="320" w:lineRule="exact"/>
        <w:rPr>
          <w:rFonts w:hint="eastAsia" w:ascii="方正小标宋简体" w:hAnsi="方正小标宋简体" w:eastAsia="黑体" w:cs="方正小标宋简体"/>
          <w:sz w:val="44"/>
          <w:szCs w:val="44"/>
          <w:shd w:val="clear" w:color="auto" w:fill="FFFFFF"/>
          <w:lang w:val="en-US" w:eastAsia="zh-CN"/>
        </w:rPr>
      </w:pPr>
      <w:r>
        <w:rPr>
          <w:rFonts w:hint="eastAsia" w:ascii="黑体" w:hAnsi="黑体" w:eastAsia="黑体" w:cs="黑体"/>
          <w:spacing w:val="-3"/>
          <w:sz w:val="32"/>
          <w:szCs w:val="32"/>
        </w:rPr>
        <w:t>附件</w:t>
      </w:r>
      <w:r>
        <w:rPr>
          <w:rFonts w:hint="eastAsia" w:ascii="黑体" w:hAnsi="黑体" w:eastAsia="黑体" w:cs="黑体"/>
          <w:spacing w:val="-3"/>
          <w:sz w:val="32"/>
          <w:szCs w:val="32"/>
          <w:lang w:val="en-US" w:eastAsia="zh-CN"/>
        </w:rPr>
        <w:t>3</w:t>
      </w:r>
    </w:p>
    <w:p>
      <w:pPr>
        <w:spacing w:line="360" w:lineRule="auto"/>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shd w:val="clear" w:color="auto" w:fill="FFFFFF"/>
        </w:rPr>
        <w:t>中国高等教育培训中心简介</w:t>
      </w:r>
    </w:p>
    <w:p>
      <w:pPr>
        <w:pStyle w:val="2"/>
        <w:spacing w:line="360" w:lineRule="auto"/>
        <w:ind w:firstLine="616" w:firstLineChars="200"/>
        <w:rPr>
          <w:spacing w:val="-6"/>
        </w:rPr>
      </w:pPr>
      <w:r>
        <w:rPr>
          <w:rFonts w:hint="eastAsia" w:ascii="仿宋_GB2312" w:hAnsi="仿宋_GB2312" w:eastAsia="仿宋_GB2312" w:cs="仿宋_GB2312"/>
          <w:spacing w:val="-6"/>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eastAsia" w:ascii="仿宋_GB2312" w:hAnsi="仿宋_GB2312" w:eastAsia="仿宋_GB2312" w:cs="仿宋_GB2312"/>
          <w:spacing w:val="-23"/>
          <w:sz w:val="32"/>
          <w:szCs w:val="32"/>
          <w:shd w:val="clear" w:color="auto" w:fill="FFFFFF"/>
        </w:rPr>
        <w:t>详情请登录中国高等教育培训中心官网</w:t>
      </w:r>
      <w:r>
        <w:rPr>
          <w:rFonts w:hint="eastAsia" w:ascii="仿宋_GB2312" w:hAnsi="仿宋_GB2312" w:eastAsia="仿宋_GB2312" w:cs="仿宋_GB2312"/>
          <w:spacing w:val="-6"/>
          <w:sz w:val="32"/>
          <w:szCs w:val="32"/>
          <w:shd w:val="clear" w:color="auto" w:fill="FFFFFF"/>
        </w:rPr>
        <w:t>（</w:t>
      </w:r>
      <w:r>
        <w:rPr>
          <w:rFonts w:hint="eastAsia" w:ascii="仿宋" w:hAnsi="仿宋" w:eastAsia="仿宋" w:cs="仿宋"/>
          <w:b/>
          <w:bCs/>
          <w:spacing w:val="-6"/>
          <w:sz w:val="24"/>
          <w:szCs w:val="32"/>
        </w:rPr>
        <w:t>https：//chetc.cahe.edu.cn/</w:t>
      </w:r>
      <w:r>
        <w:rPr>
          <w:rFonts w:hint="eastAsia" w:ascii="仿宋_GB2312" w:hAnsi="仿宋_GB2312" w:eastAsia="仿宋_GB2312" w:cs="仿宋_GB2312"/>
          <w:spacing w:val="-6"/>
          <w:sz w:val="32"/>
          <w:szCs w:val="32"/>
          <w:shd w:val="clear" w:color="auto" w:fill="FFFFFF"/>
        </w:rPr>
        <w:t>）或关注培训中心微信公众号了解更多培训动态。</w:t>
      </w:r>
    </w:p>
    <w:tbl>
      <w:tblPr>
        <w:tblStyle w:val="3"/>
        <w:tblW w:w="0" w:type="auto"/>
        <w:jc w:val="center"/>
        <w:tblLayout w:type="autofit"/>
        <w:tblCellMar>
          <w:top w:w="0" w:type="dxa"/>
          <w:left w:w="108" w:type="dxa"/>
          <w:bottom w:w="0" w:type="dxa"/>
          <w:right w:w="108" w:type="dxa"/>
        </w:tblCellMar>
      </w:tblPr>
      <w:tblGrid>
        <w:gridCol w:w="3994"/>
        <w:gridCol w:w="3985"/>
      </w:tblGrid>
      <w:tr>
        <w:tblPrEx>
          <w:tblCellMar>
            <w:top w:w="0" w:type="dxa"/>
            <w:left w:w="108" w:type="dxa"/>
            <w:bottom w:w="0" w:type="dxa"/>
            <w:right w:w="108" w:type="dxa"/>
          </w:tblCellMar>
        </w:tblPrEx>
        <w:trPr>
          <w:trHeight w:val="3192" w:hRule="atLeast"/>
          <w:jc w:val="center"/>
        </w:trPr>
        <w:tc>
          <w:tcPr>
            <w:tcW w:w="3994" w:type="dxa"/>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pacing w:val="27"/>
                <w:sz w:val="32"/>
                <w:szCs w:val="32"/>
                <w:shd w:val="clear" w:color="auto" w:fill="FFFFFF"/>
              </w:rPr>
              <w:drawing>
                <wp:inline distT="0" distB="0" distL="114300" distR="114300">
                  <wp:extent cx="2023110" cy="2023110"/>
                  <wp:effectExtent l="0" t="0" r="3810" b="3810"/>
                  <wp:docPr id="8"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中心订阅号"/>
                          <pic:cNvPicPr>
                            <a:picLocks noChangeAspect="1"/>
                          </pic:cNvPicPr>
                        </pic:nvPicPr>
                        <pic:blipFill>
                          <a:blip r:embed="rId4"/>
                          <a:stretch>
                            <a:fillRect/>
                          </a:stretch>
                        </pic:blipFill>
                        <pic:spPr>
                          <a:xfrm>
                            <a:off x="0" y="0"/>
                            <a:ext cx="2023110" cy="2023110"/>
                          </a:xfrm>
                          <a:prstGeom prst="rect">
                            <a:avLst/>
                          </a:prstGeom>
                          <a:noFill/>
                          <a:ln>
                            <a:noFill/>
                          </a:ln>
                        </pic:spPr>
                      </pic:pic>
                    </a:graphicData>
                  </a:graphic>
                </wp:inline>
              </w:drawing>
            </w:r>
          </w:p>
        </w:tc>
        <w:tc>
          <w:tcPr>
            <w:tcW w:w="3985" w:type="dxa"/>
            <w:vAlign w:val="center"/>
          </w:tcPr>
          <w:p>
            <w:pPr>
              <w:jc w:val="center"/>
              <w:rPr>
                <w:rFonts w:ascii="仿宋_GB2312" w:hAnsi="仿宋_GB2312" w:eastAsia="仿宋_GB2312" w:cs="仿宋_GB2312"/>
                <w:spacing w:val="27"/>
                <w:sz w:val="32"/>
                <w:szCs w:val="32"/>
                <w:shd w:val="clear" w:color="auto" w:fill="FFFFFF"/>
              </w:rPr>
            </w:pPr>
            <w:bookmarkStart w:id="0" w:name="_GoBack"/>
            <w:r>
              <w:rPr>
                <w:rFonts w:hint="eastAsia" w:ascii="仿宋_GB2312" w:hAnsi="仿宋_GB2312" w:eastAsia="仿宋_GB2312" w:cs="仿宋_GB2312"/>
                <w:sz w:val="32"/>
                <w:szCs w:val="32"/>
                <w:shd w:val="clear" w:color="auto" w:fill="FFFFFF"/>
              </w:rPr>
              <w:drawing>
                <wp:anchor distT="0" distB="0" distL="114300" distR="114300" simplePos="0" relativeHeight="251659264" behindDoc="0" locked="0" layoutInCell="1" allowOverlap="1">
                  <wp:simplePos x="0" y="0"/>
                  <wp:positionH relativeFrom="column">
                    <wp:posOffset>351790</wp:posOffset>
                  </wp:positionH>
                  <wp:positionV relativeFrom="paragraph">
                    <wp:posOffset>213360</wp:posOffset>
                  </wp:positionV>
                  <wp:extent cx="1820545" cy="1805940"/>
                  <wp:effectExtent l="0" t="0" r="8255"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820545" cy="1805940"/>
                          </a:xfrm>
                          <a:prstGeom prst="rect">
                            <a:avLst/>
                          </a:prstGeom>
                          <a:noFill/>
                          <a:ln>
                            <a:noFill/>
                          </a:ln>
                        </pic:spPr>
                      </pic:pic>
                    </a:graphicData>
                  </a:graphic>
                </wp:anchor>
              </w:drawing>
            </w:r>
            <w:bookmarkEnd w:id="0"/>
          </w:p>
        </w:tc>
      </w:tr>
      <w:tr>
        <w:tblPrEx>
          <w:tblCellMar>
            <w:top w:w="0" w:type="dxa"/>
            <w:left w:w="108" w:type="dxa"/>
            <w:bottom w:w="0" w:type="dxa"/>
            <w:right w:w="108" w:type="dxa"/>
          </w:tblCellMar>
        </w:tblPrEx>
        <w:trPr>
          <w:trHeight w:val="414" w:hRule="atLeast"/>
          <w:jc w:val="center"/>
        </w:trPr>
        <w:tc>
          <w:tcPr>
            <w:tcW w:w="3994" w:type="dxa"/>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（微信公众号）</w:t>
            </w:r>
          </w:p>
        </w:tc>
        <w:tc>
          <w:tcPr>
            <w:tcW w:w="3985" w:type="dxa"/>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（企业微信）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D885E5-17E2-4B17-B717-9C5AA12B2E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6F33BA7-6E0D-47F9-95D6-199B22B5DBCC}"/>
  </w:font>
  <w:font w:name="方正小标宋简体">
    <w:panose1 w:val="02000000000000000000"/>
    <w:charset w:val="86"/>
    <w:family w:val="auto"/>
    <w:pitch w:val="default"/>
    <w:sig w:usb0="00000001" w:usb1="08000000" w:usb2="00000000" w:usb3="00000000" w:csb0="00040000" w:csb1="00000000"/>
    <w:embedRegular r:id="rId3" w:fontKey="{FDFFBA59-3D84-4EEF-95AF-1AA6394A2975}"/>
  </w:font>
  <w:font w:name="仿宋_GB2312">
    <w:panose1 w:val="02010609030101010101"/>
    <w:charset w:val="86"/>
    <w:family w:val="modern"/>
    <w:pitch w:val="default"/>
    <w:sig w:usb0="00000001" w:usb1="080E0000" w:usb2="00000000" w:usb3="00000000" w:csb0="00040000" w:csb1="00000000"/>
    <w:embedRegular r:id="rId4" w:fontKey="{06708D1F-088D-4282-A627-7AB2C3C30020}"/>
  </w:font>
  <w:font w:name="仿宋">
    <w:panose1 w:val="02010609060101010101"/>
    <w:charset w:val="86"/>
    <w:family w:val="modern"/>
    <w:pitch w:val="default"/>
    <w:sig w:usb0="800002BF" w:usb1="38CF7CFA" w:usb2="00000016" w:usb3="00000000" w:csb0="00040001" w:csb1="00000000"/>
    <w:embedRegular r:id="rId5" w:fontKey="{A2B6AC0A-34E1-4792-AB9B-DDBDB823A4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ODYwMjYwZDdlMmViOTlhMDBmOWIyM2E1NWQwNGYifQ=="/>
  </w:docVars>
  <w:rsids>
    <w:rsidRoot w:val="00000000"/>
    <w:rsid w:val="4030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2023-10-23T01:21:08Z</dcterms:created>
  <dc:creator>45381</dc:creator>
  <cp:lastModifiedBy>马金埊</cp:lastModifiedBy>
  <dcterms:modified xsi:type="dcterms:W3CDTF">2023-10-23T01:21:15Z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CC26DBE5ED8949EA87644C229D692396_12</vt:lpwstr>
  </property>
</Properties>
</file>